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r>
        <w:rPr>
          <w:rFonts w:ascii="Century" w:hAnsi="Century"/>
          <w:b/>
          <w:sz w:val="28"/>
          <w:szCs w:val="28"/>
        </w:rPr>
        <w:t>Mon</w:t>
      </w:r>
      <w:r w:rsidR="002B38E8" w:rsidRPr="00655E5A">
        <w:rPr>
          <w:rFonts w:ascii="Century" w:hAnsi="Century"/>
          <w:b/>
          <w:sz w:val="28"/>
          <w:szCs w:val="28"/>
        </w:rPr>
        <w:t xml:space="preserve">day, </w:t>
      </w:r>
      <w:r w:rsidR="00267BA7">
        <w:rPr>
          <w:rFonts w:ascii="Century" w:hAnsi="Century"/>
          <w:b/>
          <w:sz w:val="28"/>
          <w:szCs w:val="28"/>
        </w:rPr>
        <w:t>June 10</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267BA7">
        <w:rPr>
          <w:rFonts w:ascii="Century" w:hAnsi="Century"/>
          <w:sz w:val="24"/>
          <w:szCs w:val="24"/>
        </w:rPr>
        <w:t>May 13</w:t>
      </w:r>
      <w:r w:rsidR="003E4D9E">
        <w:rPr>
          <w:rFonts w:ascii="Century" w:hAnsi="Century"/>
          <w:sz w:val="24"/>
          <w:szCs w:val="24"/>
        </w:rPr>
        <w:t>, 2019</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267BA7" w:rsidRDefault="00B0634B"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p>
    <w:p w:rsidR="00C54364" w:rsidRDefault="00C50E2C" w:rsidP="00CC31F9">
      <w:pPr>
        <w:spacing w:after="0" w:line="240" w:lineRule="auto"/>
        <w:rPr>
          <w:rFonts w:ascii="Century" w:hAnsi="Century"/>
          <w:sz w:val="24"/>
          <w:szCs w:val="24"/>
        </w:rPr>
      </w:pPr>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7578CA">
        <w:rPr>
          <w:rFonts w:ascii="Century" w:hAnsi="Century"/>
          <w:sz w:val="24"/>
          <w:szCs w:val="24"/>
        </w:rPr>
        <w:t>C.  HWC Engineering Report – Troy Swan</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7130E0" w:rsidRPr="003E4D9E" w:rsidRDefault="00F96944" w:rsidP="00577C1E">
      <w:pPr>
        <w:tabs>
          <w:tab w:val="left" w:pos="2076"/>
        </w:tabs>
        <w:rPr>
          <w:rFonts w:ascii="Century Schoolbook" w:hAnsi="Century Schoolbook"/>
          <w:i/>
          <w:sz w:val="24"/>
          <w:szCs w:val="24"/>
        </w:rPr>
      </w:pPr>
      <w:r>
        <w:rPr>
          <w:rFonts w:ascii="Century Schoolbook" w:hAnsi="Century Schoolbook"/>
          <w:i/>
          <w:sz w:val="24"/>
          <w:szCs w:val="24"/>
        </w:rPr>
        <w:t xml:space="preserve">**Next Regular meeting </w:t>
      </w:r>
      <w:r w:rsidR="00267BA7">
        <w:rPr>
          <w:rFonts w:ascii="Century Schoolbook" w:hAnsi="Century Schoolbook"/>
          <w:b/>
          <w:i/>
          <w:sz w:val="24"/>
          <w:szCs w:val="24"/>
        </w:rPr>
        <w:t>Monday, July 8</w:t>
      </w:r>
      <w:bookmarkStart w:id="0" w:name="_GoBack"/>
      <w:bookmarkEnd w:id="0"/>
      <w:r w:rsidR="003E4D9E" w:rsidRPr="00F96944">
        <w:rPr>
          <w:rFonts w:ascii="Century Schoolbook" w:hAnsi="Century Schoolbook"/>
          <w:b/>
          <w:i/>
          <w:sz w:val="24"/>
          <w:szCs w:val="24"/>
        </w:rPr>
        <w:t>, 2019 @ 3:30 pm</w:t>
      </w:r>
      <w:r>
        <w:rPr>
          <w:rFonts w:ascii="Century Schoolbook" w:hAnsi="Century Schoolbook"/>
          <w:i/>
          <w:sz w:val="24"/>
          <w:szCs w:val="24"/>
        </w:rPr>
        <w:t xml:space="preserve"> – South Boulevard County Offices</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267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F2458"/>
    <w:rsid w:val="0022683D"/>
    <w:rsid w:val="0023246D"/>
    <w:rsid w:val="00235CAE"/>
    <w:rsid w:val="00267BA7"/>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923D8"/>
    <w:rsid w:val="004B2F95"/>
    <w:rsid w:val="004C40B1"/>
    <w:rsid w:val="00513F09"/>
    <w:rsid w:val="00514FF8"/>
    <w:rsid w:val="00520C74"/>
    <w:rsid w:val="00521B8F"/>
    <w:rsid w:val="00525109"/>
    <w:rsid w:val="005519F4"/>
    <w:rsid w:val="00570849"/>
    <w:rsid w:val="00577C1E"/>
    <w:rsid w:val="00614AA1"/>
    <w:rsid w:val="00655E5A"/>
    <w:rsid w:val="00663BF5"/>
    <w:rsid w:val="006D6ADC"/>
    <w:rsid w:val="00704937"/>
    <w:rsid w:val="0070680A"/>
    <w:rsid w:val="007130E0"/>
    <w:rsid w:val="00733701"/>
    <w:rsid w:val="007578CA"/>
    <w:rsid w:val="00771350"/>
    <w:rsid w:val="007768C2"/>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18A61D"/>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2018-05-11T15:02:00Z</cp:lastPrinted>
  <dcterms:created xsi:type="dcterms:W3CDTF">2019-06-06T20:26:00Z</dcterms:created>
  <dcterms:modified xsi:type="dcterms:W3CDTF">2019-06-06T20:26:00Z</dcterms:modified>
</cp:coreProperties>
</file>